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0902__20"/>
      <w:bookmarkEnd w:id="2"/>
      <w:r>
        <w:rPr>
          <w:rFonts w:ascii="Times New Roman;Times;Serif" w:hAnsi="Times New Roman;Times;Serif"/>
          <w:b/>
          <w:i w:val="false"/>
          <w:caps w:val="false"/>
          <w:smallCaps w:val="false"/>
          <w:sz w:val="36"/>
        </w:rPr>
        <w:t>8-K</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shd w:fill="FFFFFF" w:val="clear"/>
        <w:bidi w:val="0"/>
        <w:jc w:val="center"/>
        <w:rPr>
          <w:rFonts w:ascii="Times New Roman;Times;Serif" w:hAnsi="Times New Roman;Times;Serif"/>
          <w:b w:val="false"/>
          <w:i w:val="false"/>
          <w:caps w:val="false"/>
          <w:smallCaps w:val="false"/>
          <w:sz w:val="20"/>
        </w:rPr>
      </w:pPr>
      <w:bookmarkStart w:id="3" w:name="xdx_904_edei--DocumentPeriodEndDate_c202"/>
      <w:bookmarkEnd w:id="3"/>
      <w:r>
        <w:rPr>
          <w:rFonts w:ascii="Times New Roman;Times;Serif" w:hAnsi="Times New Roman;Times;Serif"/>
          <w:b w:val="false"/>
          <w:i w:val="false"/>
          <w:caps w:val="false"/>
          <w:smallCaps w:val="false"/>
          <w:sz w:val="20"/>
        </w:rPr>
        <w:t>September 2, 2026</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36"/>
          <w:u w:val="single"/>
        </w:rPr>
      </w:pPr>
      <w:bookmarkStart w:id="4" w:name="xdx_906_edei--EntityRegistrantName_c2026"/>
      <w:bookmarkEnd w:id="4"/>
      <w:r>
        <w:rPr>
          <w:rFonts w:ascii="Times New Roman;Times;Serif" w:hAnsi="Times New Roman;Times;Serif"/>
          <w:b/>
          <w:i w:val="false"/>
          <w:caps w:val="false"/>
          <w:smallCaps w:val="false"/>
          <w:sz w:val="36"/>
          <w:u w:val="single"/>
        </w:rPr>
        <w:t>ADVASA HOLDINGS, INC.</w:t>
      </w:r>
    </w:p>
    <w:p>
      <w:pPr>
        <w:pStyle w:val="TextBody"/>
        <w:shd w:fill="FFFFFF" w:val="clear"/>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20"/>
        </w:rPr>
      </w:pPr>
      <w:bookmarkStart w:id="5" w:name="xdx_906_edei--EntityIncorporationStateCo"/>
      <w:bookmarkEnd w:id="5"/>
      <w:r>
        <w:rPr>
          <w:rFonts w:ascii="Times New Roman;Times;Serif" w:hAnsi="Times New Roman;Times;Serif"/>
          <w:b/>
          <w:i w:val="false"/>
          <w:caps w:val="false"/>
          <w:smallCaps w:val="false"/>
          <w:sz w:val="20"/>
        </w:rPr>
        <w:t>Delaware</w:t>
      </w:r>
    </w:p>
    <w:p>
      <w:pPr>
        <w:pStyle w:val="TextBody"/>
        <w:shd w:fill="FFFFFF" w:val="clear"/>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shd w:fill="FFFFFF" w:val="clear"/>
        <w:bidi w:val="0"/>
        <w:jc w:val="center"/>
        <w:rPr>
          <w:caps w:val="false"/>
          <w:smallCaps w:val="false"/>
        </w:rPr>
      </w:pPr>
      <w:r>
        <w:rPr>
          <w:caps w:val="false"/>
          <w:smallCaps w:val="false"/>
        </w:rPr>
        <w:t> </w:t>
      </w:r>
    </w:p>
    <w:tbl>
      <w:tblPr>
        <w:tblW w:w="2710" w:type="dxa"/>
        <w:jc w:val="left"/>
        <w:tblInd w:w="0" w:type="dxa"/>
        <w:tblLayout w:type="fixed"/>
        <w:tblCellMar>
          <w:top w:w="0" w:type="dxa"/>
          <w:left w:w="0" w:type="dxa"/>
          <w:bottom w:w="28" w:type="dxa"/>
          <w:right w:w="0" w:type="dxa"/>
        </w:tblCellMar>
      </w:tblPr>
      <w:tblGrid>
        <w:gridCol w:w="1115"/>
        <w:gridCol w:w="60"/>
        <w:gridCol w:w="1535"/>
      </w:tblGrid>
      <w:tr>
        <w:trPr/>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4_edei--EntityFileNumber_c20260902"/>
            <w:bookmarkEnd w:id="6"/>
            <w:r>
              <w:rPr>
                <w:rFonts w:ascii="Times New Roman;Times;Serif" w:hAnsi="Times New Roman;Times;Serif"/>
                <w:b/>
                <w:i w:val="false"/>
                <w:caps w:val="false"/>
                <w:smallCaps w:val="false"/>
                <w:sz w:val="20"/>
              </w:rPr>
              <w:t>001-43445</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6_edei--EntityTaxIdentificationNum"/>
            <w:bookmarkEnd w:id="7"/>
            <w:r>
              <w:rPr>
                <w:rFonts w:ascii="Times New Roman;Times;Serif" w:hAnsi="Times New Roman;Times;Serif"/>
                <w:b/>
                <w:i w:val="false"/>
                <w:caps w:val="false"/>
                <w:smallCaps w:val="false"/>
                <w:sz w:val="20"/>
              </w:rPr>
              <w:t>39-3819559</w:t>
            </w:r>
          </w:p>
        </w:tc>
      </w:tr>
      <w:tr>
        <w:trPr/>
        <w:tc>
          <w:tcPr>
            <w:tcW w:w="1115"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shd w:fill="FFFFFF" w:val="clear"/>
        <w:bidi w:val="0"/>
        <w:jc w:val="center"/>
        <w:rPr>
          <w:caps w:val="false"/>
          <w:smallCaps w:val="false"/>
        </w:rPr>
      </w:pPr>
      <w:r>
        <w:rPr>
          <w:caps w:val="false"/>
          <w:smallCaps w:val="false"/>
        </w:rPr>
        <w:t> </w:t>
      </w:r>
    </w:p>
    <w:tbl>
      <w:tblPr>
        <w:tblW w:w="4960" w:type="dxa"/>
        <w:jc w:val="left"/>
        <w:tblInd w:w="0" w:type="dxa"/>
        <w:tblLayout w:type="fixed"/>
        <w:tblCellMar>
          <w:top w:w="0" w:type="dxa"/>
          <w:left w:w="0" w:type="dxa"/>
          <w:bottom w:w="28" w:type="dxa"/>
          <w:right w:w="0" w:type="dxa"/>
        </w:tblCellMar>
      </w:tblPr>
      <w:tblGrid>
        <w:gridCol w:w="3980"/>
        <w:gridCol w:w="60"/>
        <w:gridCol w:w="920"/>
      </w:tblGrid>
      <w:tr>
        <w:trPr/>
        <w:tc>
          <w:tcPr>
            <w:tcW w:w="39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 xml:space="preserve">1-2-7 Moto-Akasake, </w:t>
            </w:r>
            <w:bookmarkStart w:id="9" w:name="xdx_902_edei--EntityAddressAddressLine2_"/>
            <w:bookmarkEnd w:id="9"/>
            <w:r>
              <w:rPr>
                <w:rFonts w:ascii="Times New Roman;Times;Serif" w:hAnsi="Times New Roman;Times;Serif"/>
                <w:b/>
                <w:i w:val="false"/>
                <w:caps w:val="false"/>
                <w:smallCaps w:val="false"/>
                <w:sz w:val="20"/>
              </w:rPr>
              <w:t xml:space="preserve">Minato-ku, </w:t>
            </w:r>
            <w:bookmarkStart w:id="10" w:name="xdx_905_edei--EntityAddressCityOrTown_c2"/>
            <w:bookmarkEnd w:id="10"/>
            <w:r>
              <w:rPr>
                <w:rFonts w:ascii="Times New Roman;Times;Serif" w:hAnsi="Times New Roman;Times;Serif"/>
                <w:b/>
                <w:i w:val="false"/>
                <w:caps w:val="false"/>
                <w:smallCaps w:val="false"/>
                <w:sz w:val="20"/>
              </w:rPr>
              <w:t xml:space="preserve">Tokyo, </w:t>
            </w:r>
            <w:bookmarkStart w:id="11" w:name="xdx_909_edei--EntityAddressCountry_c2026"/>
            <w:bookmarkEnd w:id="11"/>
            <w:r>
              <w:rPr>
                <w:rFonts w:ascii="Times New Roman;Times;Serif" w:hAnsi="Times New Roman;Times;Serif"/>
                <w:b/>
                <w:i w:val="false"/>
                <w:caps w:val="false"/>
                <w:smallCaps w:val="false"/>
                <w:sz w:val="20"/>
              </w:rPr>
              <w:t>Japan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7_edei--EntityAddressPostalZipCode"/>
            <w:bookmarkEnd w:id="12"/>
            <w:r>
              <w:rPr>
                <w:rFonts w:ascii="Times New Roman;Times;Serif" w:hAnsi="Times New Roman;Times;Serif"/>
                <w:b/>
                <w:i w:val="false"/>
                <w:caps w:val="false"/>
                <w:smallCaps w:val="false"/>
                <w:sz w:val="20"/>
              </w:rPr>
              <w:t>107-0051</w:t>
            </w:r>
          </w:p>
        </w:tc>
      </w:tr>
      <w:tr>
        <w:trPr/>
        <w:tc>
          <w:tcPr>
            <w:tcW w:w="39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20"/>
        </w:rPr>
      </w:pPr>
      <w:bookmarkStart w:id="13" w:name="xdx_90E_edei--CountryRegion_c20260902__2"/>
      <w:bookmarkEnd w:id="13"/>
      <w:r>
        <w:rPr>
          <w:rFonts w:ascii="Times New Roman;Times;Serif" w:hAnsi="Times New Roman;Times;Serif"/>
          <w:b/>
          <w:i w:val="false"/>
          <w:caps w:val="false"/>
          <w:smallCaps w:val="false"/>
          <w:sz w:val="20"/>
        </w:rPr>
        <w:t>+81-</w:t>
      </w:r>
      <w:bookmarkStart w:id="14" w:name="xdx_906_edei--CityAreaCode_c20260902__20"/>
      <w:bookmarkEnd w:id="14"/>
      <w:r>
        <w:rPr>
          <w:rFonts w:ascii="Times New Roman;Times;Serif" w:hAnsi="Times New Roman;Times;Serif"/>
          <w:b/>
          <w:i w:val="false"/>
          <w:caps w:val="false"/>
          <w:smallCaps w:val="false"/>
          <w:sz w:val="20"/>
        </w:rPr>
        <w:t>3-</w:t>
      </w:r>
      <w:bookmarkStart w:id="15" w:name="xdx_908_edei--LocalPhoneNumber_c20260902"/>
      <w:bookmarkEnd w:id="15"/>
      <w:r>
        <w:rPr>
          <w:rFonts w:ascii="Times New Roman;Times;Serif" w:hAnsi="Times New Roman;Times;Serif"/>
          <w:b/>
          <w:i w:val="false"/>
          <w:caps w:val="false"/>
          <w:smallCaps w:val="false"/>
          <w:sz w:val="20"/>
        </w:rPr>
        <w:t>6868-5538</w:t>
      </w:r>
    </w:p>
    <w:p>
      <w:pPr>
        <w:pStyle w:val="TextBody"/>
        <w:shd w:fill="FFFFFF" w:val="clear"/>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shd w:fill="FFFFFF" w:val="clear"/>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shd w:fill="FFFFFF" w:val="clear"/>
        <w:bidi w:val="0"/>
        <w:jc w:val="center"/>
        <w:rPr>
          <w:caps w:val="false"/>
          <w:smallCaps w:val="false"/>
        </w:rPr>
      </w:pPr>
      <w:r>
        <w:rPr>
          <w:caps w:val="false"/>
          <w:smallCaps w:val="false"/>
        </w:rPr>
        <w:t> </w:t>
      </w:r>
    </w:p>
    <w:tbl>
      <w:tblPr>
        <w:tblW w:w="9310" w:type="dxa"/>
        <w:jc w:val="left"/>
        <w:tblInd w:w="0" w:type="dxa"/>
        <w:shd w:fill="FFFFFF" w:val="clear"/>
        <w:tblLayout w:type="fixed"/>
        <w:tblCellMar>
          <w:top w:w="0" w:type="dxa"/>
          <w:left w:w="0" w:type="dxa"/>
          <w:bottom w:w="0" w:type="dxa"/>
          <w:right w:w="0" w:type="dxa"/>
        </w:tblCellMar>
      </w:tblPr>
      <w:tblGrid>
        <w:gridCol w:w="245"/>
        <w:gridCol w:w="9065"/>
      </w:tblGrid>
      <w:tr>
        <w:trPr/>
        <w:tc>
          <w:tcPr>
            <w:tcW w:w="245" w:type="dxa"/>
            <w:tcBorders/>
            <w:shd w:fill="FFFFFF" w:val="clear"/>
            <w:vAlign w:val="center"/>
          </w:tcPr>
          <w:p>
            <w:pPr>
              <w:pStyle w:val="TableContents"/>
              <w:bidi w:val="0"/>
              <w:spacing w:before="0" w:after="283"/>
              <w:jc w:val="left"/>
              <w:rPr>
                <w:caps w:val="false"/>
                <w:smallCaps w:val="false"/>
              </w:rPr>
            </w:pPr>
            <w:bookmarkStart w:id="16" w:name="xdx_904_edei--WrittenCommunications_c202"/>
            <w:bookmarkEnd w:id="16"/>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bookmarkStart w:id="17" w:name="xdx_90F_edei--SolicitingMaterial_c202609"/>
            <w:bookmarkEnd w:id="17"/>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bookmarkStart w:id="18" w:name="xdx_901_edei--PreCommencementTenderOffer"/>
            <w:bookmarkEnd w:id="18"/>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bookmarkStart w:id="19" w:name="xdx_904_edei--PreCommencementIssuerTende"/>
            <w:bookmarkEnd w:id="19"/>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shd w:fill="FFFFFF" w:val="clear"/>
        <w:bidi w:val="0"/>
        <w:jc w:val="center"/>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jc w:val="center"/>
        <w:rPr>
          <w:caps w:val="false"/>
          <w:smallCaps w:val="false"/>
        </w:rPr>
      </w:pPr>
      <w:r>
        <w:rPr>
          <w:caps w:val="false"/>
          <w:smallCaps w:val="false"/>
        </w:rPr>
        <w:t> </w:t>
      </w:r>
    </w:p>
    <w:tbl>
      <w:tblPr>
        <w:tblW w:w="8280" w:type="dxa"/>
        <w:jc w:val="left"/>
        <w:tblInd w:w="0" w:type="dxa"/>
        <w:shd w:fill="FFFFFF" w:val="clear"/>
        <w:tblLayout w:type="fixed"/>
        <w:tblCellMar>
          <w:top w:w="0" w:type="dxa"/>
          <w:left w:w="0" w:type="dxa"/>
          <w:bottom w:w="28" w:type="dxa"/>
          <w:right w:w="0" w:type="dxa"/>
        </w:tblCellMar>
      </w:tblPr>
      <w:tblGrid>
        <w:gridCol w:w="2960"/>
        <w:gridCol w:w="60"/>
        <w:gridCol w:w="1490"/>
        <w:gridCol w:w="60"/>
        <w:gridCol w:w="3710"/>
      </w:tblGrid>
      <w:tr>
        <w:trPr/>
        <w:tc>
          <w:tcPr>
            <w:tcW w:w="296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9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6_edei--Security12bTitle_c20260902"/>
            <w:bookmarkEnd w:id="20"/>
            <w:r>
              <w:rPr>
                <w:rFonts w:ascii="Times New Roman;Times;Serif" w:hAnsi="Times New Roman;Times;Serif"/>
                <w:b w:val="false"/>
                <w:i w:val="false"/>
                <w:caps w:val="false"/>
                <w:smallCaps w:val="false"/>
                <w:sz w:val="20"/>
              </w:rPr>
              <w:t>Common Stock, par value $0.00001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B_edei--TradingSymbol_c20260902__2"/>
            <w:bookmarkEnd w:id="21"/>
            <w:r>
              <w:rPr>
                <w:rFonts w:ascii="Times New Roman;Times;Serif" w:hAnsi="Times New Roman;Times;Serif"/>
                <w:b w:val="false"/>
                <w:i w:val="false"/>
                <w:caps w:val="false"/>
                <w:smallCaps w:val="false"/>
                <w:sz w:val="20"/>
              </w:rPr>
              <w:t>ADBT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8_edei--SecurityExchangeName_c2026"/>
            <w:bookmarkEnd w:id="22"/>
            <w:r>
              <w:rPr>
                <w:rFonts w:ascii="Times New Roman;Times;Serif" w:hAnsi="Times New Roman;Times;Serif"/>
                <w:b w:val="false"/>
                <w:i w:val="false"/>
                <w:caps w:val="false"/>
                <w:smallCaps w:val="false"/>
                <w:sz w:val="20"/>
              </w:rPr>
              <w:t>The Nasdaq Stock Market LLC</w:t>
            </w:r>
          </w:p>
        </w:tc>
      </w:tr>
    </w:tbl>
    <w:p>
      <w:pPr>
        <w:pStyle w:val="TextBody"/>
        <w:shd w:fill="FFFFFF" w:val="clear"/>
        <w:bidi w:val="0"/>
        <w:jc w:val="center"/>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9_edei--EntityEmergingGrowthCompan"/>
      <w:bookmarkEnd w:id="23"/>
      <w:r>
        <w:rPr>
          <w:rFonts w:ascii="Times New Roman;Times;Serif" w:hAnsi="Times New Roman;Times;Serif"/>
          <w:b w:val="false"/>
          <w:i w:val="false"/>
          <w:caps w:val="false"/>
          <w:smallCaps w:val="false"/>
          <w:sz w:val="20"/>
        </w:rPr>
        <w:t>☒</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4" w:name="xdx_90C_edei--EntityExTransitionPeriod_c"/>
      <w:bookmarkEnd w:id="24"/>
      <w:r>
        <w:rPr>
          <w:rFonts w:ascii="Times New Roman;Times;Serif" w:hAnsi="Times New Roman;Times;Serif"/>
          <w:b w:val="false"/>
          <w:i w:val="false"/>
          <w:caps w:val="false"/>
          <w:smallCaps w:val="false"/>
          <w:sz w:val="20"/>
        </w:rPr>
        <w:t>☐</w:t>
      </w:r>
    </w:p>
    <w:p>
      <w:pPr>
        <w:pStyle w:val="TextBody"/>
        <w:shd w:fill="FFFFFF" w:val="clear"/>
        <w:bidi w:val="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 2026, Advasa Holdings, Inc. (the “Company”) issued a press release announcing USD Coin (“USDC”) payment functionality for ADVASA Visa Card and plans to explore potential opportunities in the real-world assets (“RWA”) sector. A copy of the press release is furnished as Exhibit 99.1 to this Current Report on Form 8-K.</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The information in this Item 7.01 and Exhibit 99.1 furnished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shd w:fill="FFFFFF" w:val="clear"/>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jc w:val="center"/>
        <w:rPr>
          <w:caps w:val="false"/>
          <w:smallCaps w:val="false"/>
        </w:rPr>
      </w:pPr>
      <w:r>
        <w:rPr>
          <w:caps w:val="false"/>
          <w:smallCaps w:val="false"/>
        </w:rPr>
        <w:t> </w:t>
      </w:r>
    </w:p>
    <w:tbl>
      <w:tblPr>
        <w:tblW w:w="985" w:type="dxa"/>
        <w:jc w:val="left"/>
        <w:tblInd w:w="0" w:type="dxa"/>
        <w:shd w:fill="FFFFFF" w:val="clear"/>
        <w:tblLayout w:type="fixed"/>
        <w:tblCellMar>
          <w:top w:w="0" w:type="dxa"/>
          <w:left w:w="0" w:type="dxa"/>
          <w:bottom w:w="0" w:type="dxa"/>
          <w:right w:w="0" w:type="dxa"/>
        </w:tblCellMar>
      </w:tblPr>
      <w:tblGrid>
        <w:gridCol w:w="260"/>
        <w:gridCol w:w="725"/>
      </w:tblGrid>
      <w:tr>
        <w:trPr/>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7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tc>
      </w:tr>
    </w:tbl>
    <w:p>
      <w:pPr>
        <w:pStyle w:val="TextBody"/>
        <w:shd w:fill="FFFFFF" w:val="clear"/>
        <w:bidi w:val="0"/>
        <w:jc w:val="center"/>
        <w:rPr>
          <w:caps w:val="false"/>
          <w:smallCaps w:val="false"/>
        </w:rPr>
      </w:pPr>
      <w:r>
        <w:rPr>
          <w:caps w:val="false"/>
          <w:smallCaps w:val="false"/>
        </w:rPr>
        <w:t> </w:t>
      </w:r>
    </w:p>
    <w:tbl>
      <w:tblPr>
        <w:tblW w:w="5365" w:type="dxa"/>
        <w:jc w:val="left"/>
        <w:tblInd w:w="0" w:type="dxa"/>
        <w:shd w:fill="FFFFFF" w:val="clear"/>
        <w:tblLayout w:type="fixed"/>
        <w:tblCellMar>
          <w:top w:w="0" w:type="dxa"/>
          <w:left w:w="0" w:type="dxa"/>
          <w:bottom w:w="0" w:type="dxa"/>
          <w:right w:w="0" w:type="dxa"/>
        </w:tblCellMar>
      </w:tblPr>
      <w:tblGrid>
        <w:gridCol w:w="395"/>
        <w:gridCol w:w="60"/>
        <w:gridCol w:w="4910"/>
      </w:tblGrid>
      <w:tr>
        <w:trPr/>
        <w:tc>
          <w:tcPr>
            <w:tcW w:w="3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910" w:type="dxa"/>
            <w:tcBorders/>
            <w:shd w:fill="CCEEFF" w:val="cle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September 2, 2026</w:t>
              </w:r>
            </w:hyperlink>
          </w:p>
        </w:tc>
      </w:tr>
      <w:tr>
        <w:trPr/>
        <w:tc>
          <w:tcPr>
            <w:tcW w:w="3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9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w:t>
            </w:r>
          </w:p>
        </w:tc>
      </w:tr>
    </w:tbl>
    <w:p>
      <w:pPr>
        <w:pStyle w:val="TextBody"/>
        <w:shd w:fill="FFFFFF" w:val="clear"/>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hd w:fill="FFFFFF" w:val="clear"/>
        <w:bidi w:val="0"/>
        <w:jc w:val="center"/>
        <w:rPr>
          <w:caps w:val="false"/>
          <w:smallCaps w:val="false"/>
        </w:rPr>
      </w:pPr>
      <w:r>
        <w:rPr>
          <w:caps w:val="false"/>
          <w:smallCaps w:val="false"/>
        </w:rPr>
        <w:t> </w:t>
      </w:r>
    </w:p>
    <w:tbl>
      <w:tblPr>
        <w:tblW w:w="4680" w:type="dxa"/>
        <w:jc w:val="left"/>
        <w:tblInd w:w="0" w:type="dxa"/>
        <w:shd w:fill="FFFFFF" w:val="clear"/>
        <w:tblLayout w:type="fixed"/>
        <w:tblCellMar>
          <w:top w:w="0" w:type="dxa"/>
          <w:left w:w="0" w:type="dxa"/>
          <w:bottom w:w="0" w:type="dxa"/>
          <w:right w:w="0" w:type="dxa"/>
        </w:tblCellMar>
      </w:tblPr>
      <w:tblGrid>
        <w:gridCol w:w="2135"/>
        <w:gridCol w:w="590"/>
        <w:gridCol w:w="1955"/>
      </w:tblGrid>
      <w:tr>
        <w:trPr/>
        <w:tc>
          <w:tcPr>
            <w:tcW w:w="2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2, 2026</w:t>
            </w:r>
          </w:p>
        </w:tc>
        <w:tc>
          <w:tcPr>
            <w:tcW w:w="2545"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Advasa Holdings, Inc.</w:t>
            </w:r>
          </w:p>
        </w:tc>
      </w:tr>
      <w:tr>
        <w:trPr/>
        <w:tc>
          <w:tcPr>
            <w:tcW w:w="2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Grady Ryther</w:t>
            </w:r>
          </w:p>
        </w:tc>
      </w:tr>
      <w:tr>
        <w:trPr/>
        <w:tc>
          <w:tcPr>
            <w:tcW w:w="2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Grady Ryther</w:t>
            </w:r>
          </w:p>
        </w:tc>
      </w:tr>
      <w:tr>
        <w:trPr/>
        <w:tc>
          <w:tcPr>
            <w:tcW w:w="2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shd w:fill="FFFFFF" w:val="clear"/>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shd w:fill="FFFFFF" w:val="clear"/>
        <w:bidi w:val="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5" w:name="ex99-1.htm"/>
      <w:bookmarkStart w:id="26" w:name="ksex991"/>
      <w:bookmarkEnd w:id="25"/>
      <w:bookmarkEnd w:id="2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tbl>
      <w:tblPr>
        <w:tblW w:w="8533" w:type="dxa"/>
        <w:jc w:val="left"/>
        <w:tblInd w:w="0" w:type="dxa"/>
        <w:tblLayout w:type="fixed"/>
        <w:tblCellMar>
          <w:top w:w="0" w:type="dxa"/>
          <w:left w:w="0" w:type="dxa"/>
          <w:bottom w:w="0" w:type="dxa"/>
          <w:right w:w="0" w:type="dxa"/>
        </w:tblCellMar>
      </w:tblPr>
      <w:tblGrid>
        <w:gridCol w:w="4515"/>
        <w:gridCol w:w="23"/>
        <w:gridCol w:w="3995"/>
      </w:tblGrid>
      <w:tr>
        <w:trPr/>
        <w:tc>
          <w:tcPr>
            <w:tcW w:w="4515" w:type="dxa"/>
            <w:tcBorders/>
            <w:vAlign w:val="center"/>
          </w:tcPr>
          <w:p>
            <w:pPr>
              <w:pStyle w:val="TableContents"/>
              <w:bidi w:val="0"/>
              <w:spacing w:before="0" w:after="283"/>
              <w:jc w:val="left"/>
              <w:rPr/>
            </w:pPr>
            <w:r>
              <w:rPr/>
              <w:drawing>
                <wp:inline distT="0" distB="0" distL="0" distR="0">
                  <wp:extent cx="285750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495300"/>
                          </a:xfrm>
                          <a:prstGeom prst="rect">
                            <a:avLst/>
                          </a:prstGeom>
                        </pic:spPr>
                      </pic:pic>
                    </a:graphicData>
                  </a:graphic>
                </wp:inline>
              </w:drawing>
            </w:r>
          </w:p>
        </w:tc>
        <w:tc>
          <w:tcPr>
            <w:tcW w:w="23" w:type="dxa"/>
            <w:tcBorders/>
            <w:vAlign w:val="center"/>
          </w:tcPr>
          <w:p>
            <w:pPr>
              <w:pStyle w:val="TableContents"/>
              <w:bidi w:val="0"/>
              <w:spacing w:before="0" w:after="283"/>
              <w:jc w:val="left"/>
              <w:rPr>
                <w:sz w:val="4"/>
                <w:szCs w:val="4"/>
              </w:rPr>
            </w:pPr>
            <w:r>
              <w:rPr>
                <w:sz w:val="4"/>
                <w:szCs w:val="4"/>
              </w:rPr>
            </w:r>
          </w:p>
        </w:tc>
        <w:tc>
          <w:tcPr>
            <w:tcW w:w="3995" w:type="dxa"/>
            <w:tcBorders/>
            <w:vAlign w:val="center"/>
          </w:tcPr>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Advasa Holdings, Inc. </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Akasaka K Tower, 1-2-7 Moto-Akasaka</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Minato-ku, Tokyo, 107-0051 Japan</w:t>
            </w:r>
          </w:p>
          <w:p>
            <w:pPr>
              <w:pStyle w:val="TableContents"/>
              <w:bidi w:val="0"/>
              <w:spacing w:before="0" w:after="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https://adbt.io/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Advasa Announces USDC Payment Functionality for ADVASA Visa Card and Eyes Real-World Assets (RWA) Expansion with Quantum-Resilient Technology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2" w:right="0" w:hanging="44"/>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TOKYO and NEW YORK, September 2, 2026 – Advasa Holdings, Inc. (Nasdaq: ADBT) (“ADVASA” or the “Company”), a fintech payment holding company providing Earned Wage Access (“EWA”) and next-generation financial infrastructure solutions through its Japanese operating subsidiary ADVASA Co., Ltd., today announced a significant upgrade to its existing ADVASA Visa card: it now features seamless payment functionality using USD Coin (“USDC”), alongside traditional fiat currency.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new capability expands upon ADVASA’s robust payment infrastructure and its proprietary FUKUPE EWA platform. Designed to provide employees with instant, on-demand access to their earned wages before the standard payday, FUKUPE connects earned wage access to a flexible suite of disbursement channels—including bank accounts, supported prepaid cards, and digital wallets. Integrating USDC payments into the ADVASA Visa card represents a strategic evolution of the Company’s financial technology ecosystem, broadening the choice and flexibility available to its users.</w:t>
      </w:r>
    </w:p>
    <w:p>
      <w:pPr>
        <w:pStyle w:val="TextBody"/>
        <w:bidi w:val="0"/>
        <w:spacing w:before="0" w:after="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ADVASA also believes that the continued expansion of digital payment options has the potential to contribute to greater financial inclusion. According to the World Bank’s Global Findex 2025, approximately 1.3 billion adults worldwide remain without a financial account, while approximately 900 million of those adults own a mobile phone.[1] The Company believes that expanding access to digital payment options, including the ability to use USDC alongside traditional fiat currency, may provide additional pathways to payment services for financially underserved populations, particularly in markets where access to traditional financial infrastructure remains limited.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ahead, ADVASA also plans to explore potential opportunities in the real-world assets (“RWA”) sector. While changing the way people access and receive their earned wages remains central to ADVASA’s mission, the Company sees potential opportunities in RWA as a natural extension of its financial technology and payment infrastructure. The asset tokenization market has been projected to reach approximately $18.9 trillion by 2033, underscoring the potential scale of this emerging sector.[2] ADVASA intends to consider how its existing technologies and experience in expanding financial access could potentially be applied to this evolving market.</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addition of USDC payment functionality to the ADVASA Visa card represents another step in expanding the payment capabilities available through our platform,” said Grady Ryther, Chief Executive Officer of Advasa Holdings, Inc. “As the digital payments landscape continues to evolve, we intend to further enhance our payment capabilities while also exploring potential opportunities in the RWA sector that may complement our broader financial technology ecosystem.”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ADVASA</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Advasa Holdings, Inc. (corporate website: </w:t>
      </w:r>
      <w:r>
        <w:rPr>
          <w:rFonts w:ascii="Times New Roman;Times;Serif" w:hAnsi="Times New Roman;Times;Serif"/>
          <w:b w:val="false"/>
          <w:i w:val="false"/>
          <w:caps w:val="false"/>
          <w:smallCaps w:val="false"/>
          <w:sz w:val="20"/>
          <w:u w:val="single"/>
        </w:rPr>
        <w:t>https://adbt.io/</w:t>
      </w:r>
      <w:r>
        <w:rPr>
          <w:rFonts w:ascii="Times New Roman;Times;Serif" w:hAnsi="Times New Roman;Times;Serif"/>
          <w:b w:val="false"/>
          <w:i w:val="false"/>
          <w:caps w:val="false"/>
          <w:smallCaps w:val="false"/>
          <w:sz w:val="20"/>
        </w:rPr>
        <w:t xml:space="preserve">) is a fintech payment holding company established in Delaware conducting operations through its Japanese subsidiary ADVASA Co., Ltd. headquartered in Tokyo, Japan (corporate website: </w:t>
      </w:r>
      <w:r>
        <w:rPr>
          <w:rFonts w:ascii="Times New Roman;Times;Serif" w:hAnsi="Times New Roman;Times;Serif"/>
          <w:b w:val="false"/>
          <w:i w:val="false"/>
          <w:caps w:val="false"/>
          <w:smallCaps w:val="false"/>
          <w:sz w:val="20"/>
          <w:u w:val="single"/>
        </w:rPr>
        <w:t>https://www.advasa.co.jp/en</w:t>
      </w:r>
      <w:r>
        <w:rPr>
          <w:rFonts w:ascii="Times New Roman;Times;Serif" w:hAnsi="Times New Roman;Times;Serif"/>
          <w:b w:val="false"/>
          <w:i w:val="false"/>
          <w:caps w:val="false"/>
          <w:smallCaps w:val="false"/>
          <w:sz w:val="20"/>
        </w:rPr>
        <w:t>/, Founder and Representative Director: Asamitsu Kosugi). ADVASA operates “FUKUPE,” an EWA platform that allows employees to receive wages they have already earned in real time. Leveraging a global patent strategy, the Company has established an intellectual property foundation across markets including Japan, the United States, South Korea, and Singapore. By integrating seamlessly with major HR and payroll systems as well as diverse payment infrastructures (such as bank transfers and e-wallets), ADVASA plans to expand from Japan into global markets—including Indonesia and the UAE where the need for financial inclusion is rapidly growing.</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announcement are forward-looking statements. All statements other than statements of historical fact are forward-looking statements.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include, but are not limited to, statements regarding the Company’s plans and expectations concerning its payment-related financial technology capabilities, digital payment infrastructure, the future utility of digital assets, the potential contribution of expanded digital payment functionality to financial inclusion, the Company’s consideration and exploration of potential opportunities involving RWA and RWA-related technologies and services, and the continued development and expansion of its products and services. Such forward-looking statements are subject to risks and uncertainties, including changes in laws and regulations applicable to digital assets, stablecoins, and RWA, technological and cybersecurity risks, market conditions, and general economic, industry and regulatory conditions in the United States and internationally. Investors can identify these forward-looking statements by words or phrases such as “may,” “could,” “will,” “should,” “would,” “expect,” “plan,” “aim,” “intend,” “anticipate,” “believe,” “estimate,” “predict,” “likely,” “potential,” “project,” or “continue,” or the negative of these terms or other comparable terminology. The Company undertakes no obligation to publicly update or revise any forward-looking statements to reflect subsequent events or circumstances, except as required by law.</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believes that the expectations expressed in these forward-looking statements are reasonable, it cannot guarantee that such expectations will prove correct. Investors are encouraged to review the risks, uncertainties and other factors that may affect the Company’s future results identified in the Company’s registration statement on Form S-1, as amended (File No. 333-292013), declared effective by the SEC on August 11, 2026, the Company’s Form 10-Q for the quarter ended June 30, 2026 filed with the SEC on August 12, 2026, and subsequent disclosure documents the Company may file with the SEC. The Company claims the protection of the Safe Harbor contained in the Private Securities Litigation Reform Act of 1995 for 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ADVASA Investor Relations Email: </w:t>
      </w:r>
      <w:r>
        <w:rPr>
          <w:rFonts w:ascii="Times New Roman;Times;Serif" w:hAnsi="Times New Roman;Times;Serif"/>
          <w:b w:val="false"/>
          <w:i w:val="false"/>
          <w:caps w:val="false"/>
          <w:smallCaps w:val="false"/>
          <w:sz w:val="20"/>
          <w:u w:val="single"/>
        </w:rPr>
        <w:t>ir@advasa.co.jp</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Website: </w:t>
      </w:r>
      <w:r>
        <w:rPr>
          <w:rFonts w:ascii="Times New Roman;Times;Serif" w:hAnsi="Times New Roman;Times;Serif"/>
          <w:b w:val="false"/>
          <w:i w:val="false"/>
          <w:caps w:val="false"/>
          <w:smallCaps w:val="false"/>
          <w:sz w:val="20"/>
          <w:u w:val="single"/>
        </w:rPr>
        <w:t>https://adbt.io/</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@AdvasaHoldings (https://x.com/AdvasaHoldings)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References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World Bank, </w:t>
      </w:r>
      <w:r>
        <w:rPr>
          <w:rFonts w:ascii="Times New Roman;Times;Serif" w:hAnsi="Times New Roman;Times;Serif"/>
          <w:b w:val="false"/>
          <w:i/>
          <w:caps w:val="false"/>
          <w:smallCaps w:val="false"/>
          <w:sz w:val="20"/>
        </w:rPr>
        <w:t>Global Findex 2025</w:t>
      </w:r>
      <w:r>
        <w:rPr>
          <w:rFonts w:ascii="Times New Roman;Times;Serif" w:hAnsi="Times New Roman;Times;Serif"/>
          <w:b w:val="false"/>
          <w:i w:val="false"/>
          <w:caps w:val="false"/>
          <w:smallCaps w:val="false"/>
          <w:sz w:val="20"/>
        </w:rPr>
        <w:t xml:space="preserve">. Available at: </w:t>
      </w:r>
      <w:r>
        <w:rPr>
          <w:rFonts w:ascii="Times New Roman;Times;Serif" w:hAnsi="Times New Roman;Times;Serif"/>
          <w:b w:val="false"/>
          <w:i w:val="false"/>
          <w:caps w:val="false"/>
          <w:smallCaps w:val="false"/>
          <w:sz w:val="20"/>
          <w:u w:val="single"/>
        </w:rPr>
        <w:t>https://digitalfinance.worldbank.org/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Ripple and Boston Consulting Group (BCG), </w:t>
      </w:r>
      <w:r>
        <w:rPr>
          <w:rFonts w:ascii="Times New Roman;Times;Serif" w:hAnsi="Times New Roman;Times;Serif"/>
          <w:b w:val="false"/>
          <w:i/>
          <w:caps w:val="false"/>
          <w:smallCaps w:val="false"/>
          <w:sz w:val="20"/>
        </w:rPr>
        <w:t>Approaching the Tokenization Tipping Point</w:t>
      </w:r>
      <w:r>
        <w:rPr>
          <w:rFonts w:ascii="Times New Roman;Times;Serif" w:hAnsi="Times New Roman;Times;Serif"/>
          <w:b w:val="false"/>
          <w:i w:val="false"/>
          <w:caps w:val="false"/>
          <w:smallCaps w:val="false"/>
          <w:sz w:val="20"/>
        </w:rPr>
        <w:t xml:space="preserve">, April 2025. Available at: </w:t>
      </w:r>
      <w:r>
        <w:rPr>
          <w:rFonts w:ascii="Times New Roman;Times;Serif" w:hAnsi="Times New Roman;Times;Serif"/>
          <w:b w:val="false"/>
          <w:i w:val="false"/>
          <w:caps w:val="false"/>
          <w:smallCaps w:val="false"/>
          <w:sz w:val="20"/>
          <w:u w:val="single"/>
        </w:rPr>
        <w:t>https://media-publications.bcg.com/Tokenized-Assets.pdf</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1457</Words>
  <Characters>8923</Characters>
  <CharactersWithSpaces>10375</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