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333-292013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No. 3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August 11,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94,046,357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05710" cy="521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710" cy="52133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3 amends and supplements the prospectus dated August 11, 2026, as updated and supplemented by prospectus supplement No. 1 dated August 12, 2026 and prospectus supplement No. 2 dated August 25, 2026, filed by Advasa Holdings, Inc. (the “Company,” “we,” “us,” “our,” or “ours”), relating to the resale of up to 94,046,357 shares of our common stock with a par value of $0.00001 per share (the “Common Stock”) by our stockholders identified in the prospectus (the “Registered Stockholders”) in connection with our direct listing (the “Direct Listing”) on the Nasdaq Global Market (“Nasdaq”).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prospectus, together with this prospectus supplement are collectively referred to as the “prospectus.” Please keep this prospectus supplement with your prospectus for future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being filed to update and supplement the information in the prospectus with the information contained in our Periodic Report filed with the Securities and Exchange Commission on September 2, 2026 (the “Periodic Report”). Accordingly, we have attached the Periodic Report to this 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the prospectus, including any supplements and amendments thereto. This prospectus supplement should be read in conjunction with the prospectus which is to be delivered with this prospectus supplement. This prospectus supplement is qualified by reference to the prospectus, except to the extent that the information in this prospectus supplement updates or supersedes the information contained in the prospectus, including any supplements and amendments thereto.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buying any shares, you should carefully read the discussion of the material risks of investing in our Common Stock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in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passed on the adequacy or accuracy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contained in this prospectus supplement have the same meanings as in the prospectus unless otherwise stated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is September 2, 2026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of SEC Filings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report listed below is filed as a part of this prospectus supplement No. 3. </w:t>
      </w:r>
    </w:p>
    <w:p>
      <w:pPr>
        <w:pStyle w:val="TextBody"/>
        <w:bidi w:val="0"/>
        <w:spacing w:before="0" w:after="0"/>
        <w:jc w:val="center"/>
        <w:rPr>
          <w:caps w:val="false"/>
          <w:smallCaps w:val="false"/>
        </w:rPr>
      </w:pPr>
      <w:r>
        <w:rPr>
          <w:caps w:val="false"/>
          <w:smallCaps w:val="false"/>
        </w:rPr>
        <w:t> </w:t>
      </w:r>
    </w:p>
    <w:tbl>
      <w:tblPr>
        <w:tblW w:w="9520" w:type="dxa"/>
        <w:jc w:val="left"/>
        <w:tblInd w:w="0" w:type="dxa"/>
        <w:tblLayout w:type="fixed"/>
        <w:tblCellMar>
          <w:top w:w="0" w:type="dxa"/>
          <w:left w:w="0" w:type="dxa"/>
          <w:bottom w:w="28" w:type="dxa"/>
          <w:right w:w="0" w:type="dxa"/>
        </w:tblCellMar>
      </w:tblPr>
      <w:tblGrid>
        <w:gridCol w:w="995"/>
        <w:gridCol w:w="60"/>
        <w:gridCol w:w="8465"/>
      </w:tblGrid>
      <w:tr>
        <w:trPr/>
        <w:tc>
          <w:tcPr>
            <w:tcW w:w="99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5" w:type="dxa"/>
            <w:tcBorders/>
            <w:tcMar>
              <w:bottom w:w="0" w:type="dxa"/>
            </w:tcMar>
            <w:vAlign w:val="center"/>
          </w:tcPr>
          <w:p>
            <w:pPr>
              <w:pStyle w:val="TableContents"/>
              <w:bidi w:val="0"/>
              <w:spacing w:before="0" w:after="283"/>
              <w:jc w:val="both"/>
              <w:rPr/>
            </w:pPr>
            <w:hyperlink w:anchor="ns_001">
              <w:r>
                <w:rPr>
                  <w:rStyle w:val="InternetLink"/>
                  <w:rFonts w:ascii="Times New Roman;Times;Serif" w:hAnsi="Times New Roman;Times;Serif"/>
                  <w:b w:val="false"/>
                  <w:i w:val="false"/>
                  <w:caps w:val="false"/>
                  <w:smallCaps w:val="false"/>
                  <w:sz w:val="20"/>
                </w:rPr>
                <w:t>Periodic Report on Form 8-K filed with the Securities and Exchange Commission on September 2, 2026.</w:t>
              </w:r>
            </w:hyperlink>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ns_001"/>
      <w:bookmarkEnd w:id="2"/>
      <w:r>
        <w:rPr>
          <w:rFonts w:ascii="Times New Roman;Times;Serif" w:hAnsi="Times New Roman;Times;Serif"/>
          <w:b/>
          <w:i w:val="false"/>
          <w:caps w:val="false"/>
          <w:smallCaps w:val="false"/>
          <w:sz w:val="20"/>
        </w:rPr>
        <w:t>Appendix 1</w:t>
      </w:r>
    </w:p>
    <w:p>
      <w:pPr>
        <w:pStyle w:val="TextBody"/>
        <w:bidi w:val="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 (August 27, 2026)</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ADVASA HOLDINGS, INC.</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115"/>
        <w:gridCol w:w="60"/>
        <w:gridCol w:w="153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001-43445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39-3819559</w:t>
            </w:r>
          </w:p>
        </w:tc>
      </w:tr>
      <w:tr>
        <w:trPr/>
        <w:tc>
          <w:tcPr>
            <w:tcW w:w="111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80"/>
        <w:gridCol w:w="60"/>
        <w:gridCol w:w="920"/>
      </w:tblGrid>
      <w:tr>
        <w:trPr/>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 Moto-Akasake, Minato-ku, Tokyo, Japan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107-0051</w:t>
            </w:r>
          </w:p>
        </w:tc>
      </w:tr>
      <w:tr>
        <w:trPr/>
        <w:tc>
          <w:tcPr>
            <w:tcW w:w="3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+81-3-6868-5538</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jc w:val="center"/>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jc w:val="center"/>
        <w:rPr>
          <w:caps w:val="false"/>
          <w:smallCaps w:val="false"/>
        </w:rPr>
      </w:pPr>
      <w:r>
        <w:rPr>
          <w:caps w:val="false"/>
          <w:smallCaps w:val="false"/>
        </w:rPr>
        <w:t> </w:t>
      </w:r>
    </w:p>
    <w:tbl>
      <w:tblPr>
        <w:tblW w:w="8280" w:type="dxa"/>
        <w:jc w:val="left"/>
        <w:tblInd w:w="0" w:type="dxa"/>
        <w:shd w:fill="FFFFFF" w:val="clear"/>
        <w:tblLayout w:type="fixed"/>
        <w:tblCellMar>
          <w:top w:w="0" w:type="dxa"/>
          <w:left w:w="0" w:type="dxa"/>
          <w:bottom w:w="28" w:type="dxa"/>
          <w:right w:w="0" w:type="dxa"/>
        </w:tblCellMar>
      </w:tblPr>
      <w:tblGrid>
        <w:gridCol w:w="2960"/>
        <w:gridCol w:w="60"/>
        <w:gridCol w:w="1490"/>
        <w:gridCol w:w="60"/>
        <w:gridCol w:w="3710"/>
      </w:tblGrid>
      <w:tr>
        <w:trPr/>
        <w:tc>
          <w:tcPr>
            <w:tcW w:w="29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Chief Financial Officer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Katharyn Field, the Chief Financial Officer (principal financial and accounting officer) of Advasa Holdings, Inc. (the “Company”), formally resigned her position as Chief Financial Officer (principal financial and accounting officer) and advised the Company that her resignation was due to personal reasons and not a result of any dispute or disagreement with the Company, its management, or its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Interim Chief Financial Officer</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commenced a search for a new Chief Financial Officer (principal financial and accounting officer). In the meantime, Mr. Grady Ryther, the Company’s Chief Executive Officer, will serve as the Company’s Interim Chief Financial Officer (principal financial and accounting officer), effective immediately, until a permanent successor is appointed. </w:t>
      </w:r>
    </w:p>
    <w:p>
      <w:pPr>
        <w:pStyle w:val="TextBody"/>
        <w:shd w:fill="FFFFFF" w:val="clear"/>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jc w:val="center"/>
        <w:rPr>
          <w:caps w:val="false"/>
          <w:smallCaps w:val="false"/>
        </w:rPr>
      </w:pPr>
      <w:r>
        <w:rPr>
          <w:caps w:val="false"/>
          <w:smallCaps w:val="false"/>
        </w:rPr>
        <w:t> </w:t>
      </w:r>
    </w:p>
    <w:tbl>
      <w:tblPr>
        <w:tblW w:w="4680" w:type="dxa"/>
        <w:jc w:val="left"/>
        <w:tblInd w:w="0" w:type="dxa"/>
        <w:shd w:fill="FFFFFF" w:val="clear"/>
        <w:tblLayout w:type="fixed"/>
        <w:tblCellMar>
          <w:top w:w="0" w:type="dxa"/>
          <w:left w:w="0" w:type="dxa"/>
          <w:bottom w:w="0" w:type="dxa"/>
          <w:right w:w="0" w:type="dxa"/>
        </w:tblCellMar>
      </w:tblPr>
      <w:tblGrid>
        <w:gridCol w:w="2135"/>
        <w:gridCol w:w="590"/>
        <w:gridCol w:w="1955"/>
      </w:tblGrid>
      <w:tr>
        <w:trPr/>
        <w:tc>
          <w:tcPr>
            <w:tcW w:w="2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 2026</w:t>
            </w:r>
          </w:p>
        </w:tc>
        <w:tc>
          <w:tcPr>
            <w:tcW w:w="254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918</Words>
  <Characters>5228</Characters>
  <CharactersWithSpaces>6151</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