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902__20"/>
      <w:bookmarkEnd w:id="2"/>
      <w:r>
        <w:rPr>
          <w:rFonts w:ascii="Times New Roman;Times;Serif" w:hAnsi="Times New Roman;Times;Serif"/>
          <w:b/>
          <w:i w:val="false"/>
          <w:caps w:val="false"/>
          <w:smallCaps w:val="false"/>
          <w:sz w:val="36"/>
        </w:rPr>
        <w:t>8-K</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3" w:name="xdx_903_edei--DocumentPeriodEndDate_c202"/>
      <w:bookmarkEnd w:id="3"/>
      <w:r>
        <w:rPr>
          <w:rFonts w:ascii="Times New Roman;Times;Serif" w:hAnsi="Times New Roman;Times;Serif"/>
          <w:b w:val="false"/>
          <w:i w:val="false"/>
          <w:caps w:val="false"/>
          <w:smallCaps w:val="false"/>
          <w:sz w:val="20"/>
        </w:rPr>
        <w:t>September 2, 2026 (August 27, 2026)</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A_edei--EntityRegistrantName_c2026"/>
      <w:bookmarkEnd w:id="4"/>
      <w:r>
        <w:rPr>
          <w:rFonts w:ascii="Times New Roman;Times;Serif" w:hAnsi="Times New Roman;Times;Serif"/>
          <w:b/>
          <w:i w:val="false"/>
          <w:caps w:val="false"/>
          <w:smallCaps w:val="false"/>
          <w:sz w:val="36"/>
          <w:u w:val="single"/>
        </w:rPr>
        <w:t>ADVASA HOLDINGS,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hd w:fill="FFFFFF" w:val="clear"/>
        <w:bidi w:val="0"/>
        <w:spacing w:before="0" w:after="0"/>
        <w:jc w:val="center"/>
        <w:rPr>
          <w:caps w:val="false"/>
          <w:smallCaps w:val="false"/>
        </w:rPr>
      </w:pPr>
      <w:r>
        <w:rPr>
          <w:caps w:val="false"/>
          <w:smallCaps w:val="false"/>
        </w:rPr>
        <w:t> </w:t>
      </w:r>
    </w:p>
    <w:tbl>
      <w:tblPr>
        <w:tblW w:w="2710" w:type="dxa"/>
        <w:jc w:val="left"/>
        <w:tblInd w:w="0" w:type="dxa"/>
        <w:tblLayout w:type="fixed"/>
        <w:tblCellMar>
          <w:top w:w="0" w:type="dxa"/>
          <w:left w:w="0" w:type="dxa"/>
          <w:bottom w:w="28" w:type="dxa"/>
          <w:right w:w="0" w:type="dxa"/>
        </w:tblCellMar>
      </w:tblPr>
      <w:tblGrid>
        <w:gridCol w:w="1115"/>
        <w:gridCol w:w="60"/>
        <w:gridCol w:w="1535"/>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902"/>
            <w:bookmarkEnd w:id="6"/>
            <w:r>
              <w:rPr>
                <w:rFonts w:ascii="Times New Roman;Times;Serif" w:hAnsi="Times New Roman;Times;Serif"/>
                <w:b/>
                <w:i w:val="false"/>
                <w:caps w:val="false"/>
                <w:smallCaps w:val="false"/>
                <w:sz w:val="20"/>
              </w:rPr>
              <w:t>001-43445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39-3819559</w:t>
            </w:r>
          </w:p>
        </w:tc>
      </w:tr>
      <w:tr>
        <w:trPr/>
        <w:tc>
          <w:tcPr>
            <w:tcW w:w="11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spacing w:before="0" w:after="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80"/>
        <w:gridCol w:w="60"/>
        <w:gridCol w:w="920"/>
      </w:tblGrid>
      <w:tr>
        <w:trPr/>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1-2-7 Moto-Akasake, </w:t>
            </w:r>
            <w:bookmarkStart w:id="9" w:name="xdx_90A_edei--EntityAddressAddressLine2_"/>
            <w:bookmarkEnd w:id="9"/>
            <w:r>
              <w:rPr>
                <w:rFonts w:ascii="Times New Roman;Times;Serif" w:hAnsi="Times New Roman;Times;Serif"/>
                <w:b/>
                <w:i w:val="false"/>
                <w:caps w:val="false"/>
                <w:smallCaps w:val="false"/>
                <w:sz w:val="20"/>
              </w:rPr>
              <w:t xml:space="preserve">Minato-ku, </w:t>
            </w:r>
            <w:bookmarkStart w:id="10" w:name="xdx_902_edei--EntityAddressCityOrTown_c2"/>
            <w:bookmarkEnd w:id="10"/>
            <w:r>
              <w:rPr>
                <w:rFonts w:ascii="Times New Roman;Times;Serif" w:hAnsi="Times New Roman;Times;Serif"/>
                <w:b/>
                <w:i w:val="false"/>
                <w:caps w:val="false"/>
                <w:smallCaps w:val="false"/>
                <w:sz w:val="20"/>
              </w:rPr>
              <w:t xml:space="preserve">Tokyo, </w:t>
            </w:r>
            <w:bookmarkStart w:id="11" w:name="xdx_908_edei--EntityAddressCountry_c2026"/>
            <w:bookmarkEnd w:id="11"/>
            <w:r>
              <w:rPr>
                <w:rFonts w:ascii="Times New Roman;Times;Serif" w:hAnsi="Times New Roman;Times;Serif"/>
                <w:b/>
                <w:i w:val="false"/>
                <w:caps w:val="false"/>
                <w:smallCaps w:val="false"/>
                <w:sz w:val="20"/>
              </w:rPr>
              <w:t>Japan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2_edei--EntityAddressPostalZipCode"/>
            <w:bookmarkEnd w:id="12"/>
            <w:r>
              <w:rPr>
                <w:rFonts w:ascii="Times New Roman;Times;Serif" w:hAnsi="Times New Roman;Times;Serif"/>
                <w:b/>
                <w:i w:val="false"/>
                <w:caps w:val="false"/>
                <w:smallCaps w:val="false"/>
                <w:sz w:val="20"/>
              </w:rPr>
              <w:t>107-0051</w:t>
            </w:r>
          </w:p>
        </w:tc>
      </w:tr>
      <w:tr>
        <w:trPr/>
        <w:tc>
          <w:tcPr>
            <w:tcW w:w="39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3" w:name="xdx_901_edei--CountryRegion_c20260902__2"/>
      <w:bookmarkEnd w:id="13"/>
      <w:r>
        <w:rPr>
          <w:rFonts w:ascii="Times New Roman;Times;Serif" w:hAnsi="Times New Roman;Times;Serif"/>
          <w:b/>
          <w:i w:val="false"/>
          <w:caps w:val="false"/>
          <w:smallCaps w:val="false"/>
          <w:sz w:val="20"/>
        </w:rPr>
        <w:t>+81-</w:t>
      </w:r>
      <w:bookmarkStart w:id="14" w:name="xdx_905_edei--CityAreaCode_c20260902__20"/>
      <w:bookmarkEnd w:id="14"/>
      <w:r>
        <w:rPr>
          <w:rFonts w:ascii="Times New Roman;Times;Serif" w:hAnsi="Times New Roman;Times;Serif"/>
          <w:b/>
          <w:i w:val="false"/>
          <w:caps w:val="false"/>
          <w:smallCaps w:val="false"/>
          <w:sz w:val="20"/>
        </w:rPr>
        <w:t>3-</w:t>
      </w:r>
      <w:bookmarkStart w:id="15" w:name="xdx_90D_edei--LocalPhoneNumber_c20260902"/>
      <w:bookmarkEnd w:id="15"/>
      <w:r>
        <w:rPr>
          <w:rFonts w:ascii="Times New Roman;Times;Serif" w:hAnsi="Times New Roman;Times;Serif"/>
          <w:b/>
          <w:i w:val="false"/>
          <w:caps w:val="false"/>
          <w:smallCaps w:val="false"/>
          <w:sz w:val="20"/>
        </w:rPr>
        <w:t>6868-5538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caps w:val="false"/>
                <w:smallCaps w:val="false"/>
              </w:rPr>
            </w:pPr>
            <w:bookmarkStart w:id="16" w:name="xdx_908_edei--WrittenCommunications_c202"/>
            <w:bookmarkEnd w:id="16"/>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7" w:name="xdx_907_edei--SolicitingMaterial_c202609"/>
            <w:bookmarkEnd w:id="17"/>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8" w:name="xdx_90E_edei--PreCommencementTenderOffer"/>
            <w:bookmarkEnd w:id="18"/>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9" w:name="xdx_907_edei--PreCommencementIssuerTende"/>
            <w:bookmarkEnd w:id="19"/>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280" w:type="dxa"/>
        <w:jc w:val="left"/>
        <w:tblInd w:w="0" w:type="dxa"/>
        <w:shd w:fill="FFFFFF" w:val="clear"/>
        <w:tblLayout w:type="fixed"/>
        <w:tblCellMar>
          <w:top w:w="0" w:type="dxa"/>
          <w:left w:w="0" w:type="dxa"/>
          <w:bottom w:w="28" w:type="dxa"/>
          <w:right w:w="0" w:type="dxa"/>
        </w:tblCellMar>
      </w:tblPr>
      <w:tblGrid>
        <w:gridCol w:w="2960"/>
        <w:gridCol w:w="60"/>
        <w:gridCol w:w="1490"/>
        <w:gridCol w:w="60"/>
        <w:gridCol w:w="3710"/>
      </w:tblGrid>
      <w:tr>
        <w:trPr/>
        <w:tc>
          <w:tcPr>
            <w:tcW w:w="29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9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Security12bTitle_c20260902"/>
            <w:bookmarkEnd w:id="20"/>
            <w:r>
              <w:rPr>
                <w:rFonts w:ascii="Times New Roman;Times;Serif" w:hAnsi="Times New Roman;Times;Serif"/>
                <w:b w:val="false"/>
                <w:i w:val="false"/>
                <w:caps w:val="false"/>
                <w:smallCaps w:val="false"/>
                <w:sz w:val="20"/>
              </w:rPr>
              <w:t>Common Stock, par value $0.00001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TradingSymbol_c20260902__2"/>
            <w:bookmarkEnd w:id="21"/>
            <w:r>
              <w:rPr>
                <w:rFonts w:ascii="Times New Roman;Times;Serif" w:hAnsi="Times New Roman;Times;Serif"/>
                <w:b w:val="false"/>
                <w:i w:val="false"/>
                <w:caps w:val="false"/>
                <w:smallCaps w:val="false"/>
                <w:sz w:val="20"/>
              </w:rPr>
              <w:t>ADBT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1_edei--SecurityExchangeName_c2026"/>
            <w:bookmarkEnd w:id="22"/>
            <w:r>
              <w:rPr>
                <w:rFonts w:ascii="Times New Roman;Times;Serif" w:hAnsi="Times New Roman;Times;Serif"/>
                <w:b w:val="false"/>
                <w:i w:val="false"/>
                <w:caps w:val="false"/>
                <w:smallCaps w:val="false"/>
                <w:sz w:val="20"/>
              </w:rPr>
              <w:t>The 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1_edei--EntityEmergingGrowthCompan"/>
      <w:bookmarkEnd w:id="23"/>
      <w:r>
        <w:rPr>
          <w:rFonts w:ascii="Times New Roman;Times;Serif" w:hAnsi="Times New Roman;Times;Serif"/>
          <w:b w:val="false"/>
          <w:i w:val="false"/>
          <w:caps w:val="false"/>
          <w:smallCaps w:val="false"/>
          <w:sz w:val="20"/>
        </w:rPr>
        <w: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3_edei--EntityExTransitionPeriod_c"/>
      <w:bookmarkEnd w:id="24"/>
      <w:r>
        <w:rPr>
          <w:rFonts w:ascii="Times New Roman;Times;Serif" w:hAnsi="Times New Roman;Times;Serif"/>
          <w:b w:val="false"/>
          <w:i w:val="false"/>
          <w:caps w:val="false"/>
          <w:smallCaps w:val="false"/>
          <w:sz w:val="20"/>
        </w:rPr>
        <w:t>☐</w:t>
      </w:r>
    </w:p>
    <w:p>
      <w:pPr>
        <w:pStyle w:val="TextBody"/>
        <w:shd w:fill="FFFFFF" w:val="clear"/>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Katharyn Field, the Chief Financial Officer (principal financial and accounting officer) of Advasa Holdings, Inc. (the “Company”), formally resigned her position as Chief Financial Officer (principal financial and accounting officer) and advised the Company that her resignation was due to personal reasons and not a result of any dispute or disagreement with the Company, its management, or its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Interim Chief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commenced a search for a new Chief Financial Officer (principal financial and accounting officer). In the meantime, Mr. Grady Ryther, the Company’s Chief Executive Officer, will serve as the Company’s Interim Chief Financial Officer (principal financial and accounting officer), effective immediately, until a permanent successor is appointed.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4635" w:type="dxa"/>
        <w:jc w:val="left"/>
        <w:tblInd w:w="0" w:type="dxa"/>
        <w:shd w:fill="FFFFFF" w:val="clear"/>
        <w:tblLayout w:type="fixed"/>
        <w:tblCellMar>
          <w:top w:w="0" w:type="dxa"/>
          <w:left w:w="0" w:type="dxa"/>
          <w:bottom w:w="0" w:type="dxa"/>
          <w:right w:w="0" w:type="dxa"/>
        </w:tblCellMar>
      </w:tblPr>
      <w:tblGrid>
        <w:gridCol w:w="2135"/>
        <w:gridCol w:w="545"/>
        <w:gridCol w:w="1955"/>
      </w:tblGrid>
      <w:tr>
        <w:trPr/>
        <w:tc>
          <w:tcPr>
            <w:tcW w:w="2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 2026</w:t>
            </w:r>
          </w:p>
        </w:tc>
        <w:tc>
          <w:tcPr>
            <w:tcW w:w="2500"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Grady Ryther</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Grady Ryther</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501</Words>
  <Characters>2862</Characters>
  <CharactersWithSpaces>3357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