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424b3.htm"/>
      <w:bookmarkStart w:id="1" w:name="ksform424b3"/>
      <w:bookmarkEnd w:id="0"/>
      <w:bookmarkEnd w:id="1"/>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333-292013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 No. 5</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Prospectus dated August 11,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94,046,357 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505075" cy="514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05075" cy="5143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Advasa Holdings,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No. 5 amends and supplements the prospectus dated August 11, 2026, as updated and supplemented by prospectus supplement No. 1 dated August 12, 2026, prospectus supplement No. 2 dated August 25, 2026, prospectus supplement No. 3 dated September 2, 2026, and prospectus supplement No. 4 dated September 2, 2026 filed by Advasa Holdings, Inc. (the “Company,” “we,” “us,” “our,” or “ours”), relating to the resale of up to 94,046,357 shares of our common stock with a par value of $0.00001 per share (the “Common Stock”) by our stockholders identified in the prospectus (the “Registered Stockholders”) in connection with our direct listing (the “Direct Listing”) on the Nasdaq Global Market (“Nasdaq”).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prospectus, together with this prospectus supplement are collectively referred to as the “prospectus.” Please keep this prospectus supplement with your prospectus for future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is being filed to update and supplement the information in the prospectus with the information contained in our Periodic Report filed with the Securities and Exchange Commission on September 9, 2026 (the “Periodic Report”). Accordingly, we have attached the Periodic Report to this 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is not complete without the prospectus, including any supplements and amendments thereto. This prospectus supplement should be read in conjunction with the prospectus which is to be delivered with this prospectus supplement. This prospectus supplement is qualified by reference to the prospectus, except to the extent that the information in this prospectus supplement updates or supersedes the information contained in the prospectus, including any supplements and amendments thereto.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Common Stock involves a high degree of risk. Before buying any shares, you should carefully read the discussion of the material risks of investing in our Common Stock under the heading “</w:t>
      </w:r>
      <w:r>
        <w:rPr>
          <w:rFonts w:ascii="Times New Roman;Times;Serif" w:hAnsi="Times New Roman;Times;Serif"/>
          <w:b/>
          <w:i/>
          <w:caps w:val="false"/>
          <w:smallCaps w:val="false"/>
          <w:sz w:val="20"/>
        </w:rPr>
        <w:t>Risk Factors</w:t>
      </w:r>
      <w:r>
        <w:rPr>
          <w:rFonts w:ascii="Times New Roman;Times;Serif" w:hAnsi="Times New Roman;Times;Serif"/>
          <w:b/>
          <w:i w:val="false"/>
          <w:caps w:val="false"/>
          <w:smallCaps w:val="false"/>
          <w:sz w:val="20"/>
        </w:rPr>
        <w:t>” in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(the “SEC”) nor any state securities commission has approved or disapproved of these securities or passed on the adequacy or accuracy of this prospectus.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contained in this prospectus supplement have the same meanings as in the prospectus unless otherwise stated herein.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date of this prospectus is September 9, 2026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of SEC Filings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report listed below is filed as a part of this prospectus supplement No. 5.</w:t>
      </w:r>
    </w:p>
    <w:p>
      <w:pPr>
        <w:pStyle w:val="TextBody"/>
        <w:bidi w:val="0"/>
        <w:spacing w:before="0" w:after="0"/>
        <w:ind w:left="0" w:right="0" w:hanging="0"/>
        <w:jc w:val="center"/>
        <w:rPr>
          <w:caps w:val="false"/>
          <w:smallCaps w:val="false"/>
        </w:rPr>
      </w:pPr>
      <w:r>
        <w:rPr>
          <w:caps w:val="false"/>
          <w:smallCaps w:val="false"/>
        </w:rPr>
        <w:t> </w:t>
      </w:r>
    </w:p>
    <w:tbl>
      <w:tblPr>
        <w:tblW w:w="9520" w:type="dxa"/>
        <w:jc w:val="left"/>
        <w:tblInd w:w="0" w:type="dxa"/>
        <w:tblLayout w:type="fixed"/>
        <w:tblCellMar>
          <w:top w:w="0" w:type="dxa"/>
          <w:left w:w="0" w:type="dxa"/>
          <w:bottom w:w="28" w:type="dxa"/>
          <w:right w:w="0" w:type="dxa"/>
        </w:tblCellMar>
      </w:tblPr>
      <w:tblGrid>
        <w:gridCol w:w="995"/>
        <w:gridCol w:w="60"/>
        <w:gridCol w:w="8465"/>
      </w:tblGrid>
      <w:tr>
        <w:trPr/>
        <w:tc>
          <w:tcPr>
            <w:tcW w:w="995" w:type="dxa"/>
            <w:tcBorders>
              <w:bottom w:val="single" w:sz="8" w:space="0" w:color="000000"/>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6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Appendix 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65" w:type="dxa"/>
            <w:tcBorders/>
            <w:tcMar>
              <w:bottom w:w="0" w:type="dxa"/>
            </w:tcMar>
            <w:vAlign w:val="center"/>
          </w:tcPr>
          <w:p>
            <w:pPr>
              <w:pStyle w:val="TableContents"/>
              <w:bidi w:val="0"/>
              <w:spacing w:before="0" w:after="283"/>
              <w:jc w:val="both"/>
              <w:rPr/>
            </w:pPr>
            <w:hyperlink w:anchor="am_002">
              <w:r>
                <w:rPr>
                  <w:rStyle w:val="InternetLink"/>
                  <w:rFonts w:ascii="Times New Roman;Times;Serif" w:hAnsi="Times New Roman;Times;Serif"/>
                  <w:b w:val="false"/>
                  <w:i w:val="false"/>
                  <w:caps w:val="false"/>
                  <w:smallCaps w:val="false"/>
                  <w:sz w:val="20"/>
                </w:rPr>
                <w:t>Periodic Report on Form 8-K filed with the Securities and Exchange Commission on September 9, 2026.</w:t>
              </w:r>
            </w:hyperlink>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2" w:name="am_002"/>
      <w:bookmarkEnd w:id="2"/>
      <w:r>
        <w:rPr>
          <w:rFonts w:ascii="Times New Roman;Times;Serif" w:hAnsi="Times New Roman;Times;Serif"/>
          <w:b/>
          <w:i w:val="false"/>
          <w:caps w:val="false"/>
          <w:smallCaps w:val="false"/>
          <w:sz w:val="20"/>
        </w:rPr>
        <w:t>Appendix 1</w:t>
      </w:r>
    </w:p>
    <w:p>
      <w:pPr>
        <w:pStyle w:val="TextBody"/>
        <w:bidi w:val="0"/>
        <w:jc w:val="right"/>
        <w:rPr>
          <w:caps w:val="false"/>
          <w:smallCaps w:val="false"/>
        </w:rPr>
      </w:pPr>
      <w:r>
        <w:rPr>
          <w:caps w:val="false"/>
          <w:smallCaps w:val="false"/>
        </w:rPr>
        <w:t> </w:t>
      </w:r>
    </w:p>
    <w:p>
      <w:pPr>
        <w:pStyle w:val="TextBody"/>
        <w:bidi w:val="0"/>
        <w:jc w:val="left"/>
        <w:rPr>
          <w:bdr w:val="single" w:sz="32" w:space="1" w:color="000000"/>
        </w:rPr>
      </w:pPr>
      <w:r>
        <w:rPr>
          <w:bdr w:val="single" w:sz="32"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8-K</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 2026 (August 25, 2026)</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u w:val="single"/>
        </w:rPr>
      </w:pPr>
      <w:r>
        <w:rPr>
          <w:rFonts w:ascii="Times New Roman;Times;Serif" w:hAnsi="Times New Roman;Times;Serif"/>
          <w:b/>
          <w:i w:val="false"/>
          <w:caps w:val="false"/>
          <w:smallCaps w:val="false"/>
          <w:sz w:val="36"/>
          <w:u w:val="single"/>
        </w:rPr>
        <w:t>ADVASA HOLDINGS, INC.</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2710" w:type="dxa"/>
        <w:jc w:val="left"/>
        <w:tblInd w:w="0" w:type="dxa"/>
        <w:tblLayout w:type="fixed"/>
        <w:tblCellMar>
          <w:top w:w="0" w:type="dxa"/>
          <w:left w:w="0" w:type="dxa"/>
          <w:bottom w:w="28" w:type="dxa"/>
          <w:right w:w="0" w:type="dxa"/>
        </w:tblCellMar>
      </w:tblPr>
      <w:tblGrid>
        <w:gridCol w:w="1115"/>
        <w:gridCol w:w="60"/>
        <w:gridCol w:w="1535"/>
      </w:tblGrid>
      <w:tr>
        <w:trPr/>
        <w:tc>
          <w:tcPr>
            <w:tcW w:w="11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001-43445</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39-3819559</w:t>
            </w:r>
          </w:p>
        </w:tc>
      </w:tr>
      <w:tr>
        <w:trPr/>
        <w:tc>
          <w:tcPr>
            <w:tcW w:w="111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shd w:fill="FFFFFF" w:val="clear"/>
        <w:bidi w:val="0"/>
        <w:spacing w:before="0" w:after="0"/>
        <w:ind w:left="0" w:right="0" w:hanging="0"/>
        <w:jc w:val="center"/>
        <w:rPr>
          <w:caps w:val="false"/>
          <w:smallCaps w:val="false"/>
        </w:rPr>
      </w:pPr>
      <w:r>
        <w:rPr>
          <w:caps w:val="false"/>
          <w:smallCaps w:val="false"/>
        </w:rPr>
        <w:t> </w:t>
      </w:r>
    </w:p>
    <w:tbl>
      <w:tblPr>
        <w:tblW w:w="4960" w:type="dxa"/>
        <w:jc w:val="left"/>
        <w:tblInd w:w="0" w:type="dxa"/>
        <w:tblLayout w:type="fixed"/>
        <w:tblCellMar>
          <w:top w:w="0" w:type="dxa"/>
          <w:left w:w="0" w:type="dxa"/>
          <w:bottom w:w="28" w:type="dxa"/>
          <w:right w:w="0" w:type="dxa"/>
        </w:tblCellMar>
      </w:tblPr>
      <w:tblGrid>
        <w:gridCol w:w="3980"/>
        <w:gridCol w:w="60"/>
        <w:gridCol w:w="920"/>
      </w:tblGrid>
      <w:tr>
        <w:trPr/>
        <w:tc>
          <w:tcPr>
            <w:tcW w:w="39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1-2-7 Moto-Akasake, Minato-ku, Tokyo, Japan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107-0051</w:t>
            </w:r>
          </w:p>
        </w:tc>
      </w:tr>
      <w:tr>
        <w:trPr/>
        <w:tc>
          <w:tcPr>
            <w:tcW w:w="39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+81-3-6868-5538</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General Instruction A.2. below):</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9310" w:type="dxa"/>
        <w:jc w:val="left"/>
        <w:tblInd w:w="0" w:type="dxa"/>
        <w:shd w:fill="FFFFFF" w:val="clear"/>
        <w:tblLayout w:type="fixed"/>
        <w:tblCellMar>
          <w:top w:w="0" w:type="dxa"/>
          <w:left w:w="0" w:type="dxa"/>
          <w:bottom w:w="0" w:type="dxa"/>
          <w:right w:w="0" w:type="dxa"/>
        </w:tblCellMar>
      </w:tblPr>
      <w:tblGrid>
        <w:gridCol w:w="245"/>
        <w:gridCol w:w="9065"/>
      </w:tblGrid>
      <w:tr>
        <w:trPr/>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0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0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0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0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8280" w:type="dxa"/>
        <w:jc w:val="left"/>
        <w:tblInd w:w="0" w:type="dxa"/>
        <w:shd w:fill="FFFFFF" w:val="clear"/>
        <w:tblLayout w:type="fixed"/>
        <w:tblCellMar>
          <w:top w:w="0" w:type="dxa"/>
          <w:left w:w="0" w:type="dxa"/>
          <w:bottom w:w="28" w:type="dxa"/>
          <w:right w:w="0" w:type="dxa"/>
        </w:tblCellMar>
      </w:tblPr>
      <w:tblGrid>
        <w:gridCol w:w="2960"/>
        <w:gridCol w:w="60"/>
        <w:gridCol w:w="1490"/>
        <w:gridCol w:w="60"/>
        <w:gridCol w:w="3710"/>
      </w:tblGrid>
      <w:tr>
        <w:trPr/>
        <w:tc>
          <w:tcPr>
            <w:tcW w:w="296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29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par value $0.00001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ADBT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Stock Market LLC</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9, 2026, Advasa Holdings, Inc. (the “Company”) issued a press release announcing clarification to shareholders regarding its direct listing, registered resale shares, largest shareholder ownership and management transition. A copy of the press release is furnished as Exhibit 99.1 to this Current Report on Form 8-K.</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The information in this Item 7.01 and Exhibit 99.1 furnished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985" w:type="dxa"/>
        <w:jc w:val="left"/>
        <w:tblInd w:w="0" w:type="dxa"/>
        <w:shd w:fill="FFFFFF" w:val="clear"/>
        <w:tblLayout w:type="fixed"/>
        <w:tblCellMar>
          <w:top w:w="0" w:type="dxa"/>
          <w:left w:w="0" w:type="dxa"/>
          <w:bottom w:w="0" w:type="dxa"/>
          <w:right w:w="0" w:type="dxa"/>
        </w:tblCellMar>
      </w:tblPr>
      <w:tblGrid>
        <w:gridCol w:w="260"/>
        <w:gridCol w:w="725"/>
      </w:tblGrid>
      <w:tr>
        <w:trPr/>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72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w:t>
            </w:r>
          </w:p>
        </w:tc>
      </w:tr>
    </w:tbl>
    <w:p>
      <w:pPr>
        <w:pStyle w:val="TextBody"/>
        <w:shd w:fill="FFFFFF" w:val="clear"/>
        <w:bidi w:val="0"/>
        <w:spacing w:before="0" w:after="0"/>
        <w:ind w:left="0" w:right="0" w:hanging="0"/>
        <w:jc w:val="center"/>
        <w:rPr>
          <w:caps w:val="false"/>
          <w:smallCaps w:val="false"/>
        </w:rPr>
      </w:pPr>
      <w:r>
        <w:rPr>
          <w:caps w:val="false"/>
          <w:smallCaps w:val="false"/>
        </w:rPr>
        <w:t> </w:t>
      </w:r>
    </w:p>
    <w:tbl>
      <w:tblPr>
        <w:tblW w:w="5365" w:type="dxa"/>
        <w:jc w:val="left"/>
        <w:tblInd w:w="0" w:type="dxa"/>
        <w:shd w:fill="FFFFFF" w:val="clear"/>
        <w:tblLayout w:type="fixed"/>
        <w:tblCellMar>
          <w:top w:w="0" w:type="dxa"/>
          <w:left w:w="0" w:type="dxa"/>
          <w:bottom w:w="0" w:type="dxa"/>
          <w:right w:w="0" w:type="dxa"/>
        </w:tblCellMar>
      </w:tblPr>
      <w:tblGrid>
        <w:gridCol w:w="395"/>
        <w:gridCol w:w="60"/>
        <w:gridCol w:w="4910"/>
      </w:tblGrid>
      <w:tr>
        <w:trPr/>
        <w:tc>
          <w:tcPr>
            <w:tcW w:w="3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910" w:type="dxa"/>
            <w:tcBorders/>
            <w:shd w:fill="CCEEFF" w:val="clear"/>
            <w:vAlign w:val="center"/>
          </w:tcPr>
          <w:p>
            <w:pPr>
              <w:pStyle w:val="TableContents"/>
              <w:bidi w:val="0"/>
              <w:spacing w:before="0" w:after="283"/>
              <w:jc w:val="both"/>
              <w:rPr/>
            </w:pPr>
            <w:hyperlink w:anchor="am_001">
              <w:r>
                <w:rPr>
                  <w:rStyle w:val="InternetLink"/>
                  <w:rFonts w:ascii="Times New Roman;Times;Serif" w:hAnsi="Times New Roman;Times;Serif"/>
                  <w:b w:val="false"/>
                  <w:i w:val="false"/>
                  <w:caps w:val="false"/>
                  <w:smallCaps w:val="false"/>
                  <w:sz w:val="20"/>
                </w:rPr>
                <w:t>Press Release, dated September 9, 2026</w:t>
              </w:r>
            </w:hyperlink>
          </w:p>
        </w:tc>
      </w:tr>
      <w:tr>
        <w:trPr/>
        <w:tc>
          <w:tcPr>
            <w:tcW w:w="3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9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w:t>
            </w:r>
          </w:p>
        </w:tc>
      </w:tr>
    </w:tbl>
    <w:p>
      <w:pPr>
        <w:pStyle w:val="TextBody"/>
        <w:shd w:fill="FFFFFF" w:val="clear"/>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4680" w:type="dxa"/>
        <w:jc w:val="left"/>
        <w:tblInd w:w="0" w:type="dxa"/>
        <w:shd w:fill="FFFFFF" w:val="clear"/>
        <w:tblLayout w:type="fixed"/>
        <w:tblCellMar>
          <w:top w:w="0" w:type="dxa"/>
          <w:left w:w="0" w:type="dxa"/>
          <w:bottom w:w="0" w:type="dxa"/>
          <w:right w:w="0" w:type="dxa"/>
        </w:tblCellMar>
      </w:tblPr>
      <w:tblGrid>
        <w:gridCol w:w="2135"/>
        <w:gridCol w:w="590"/>
        <w:gridCol w:w="1955"/>
      </w:tblGrid>
      <w:tr>
        <w:trPr/>
        <w:tc>
          <w:tcPr>
            <w:tcW w:w="2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September 9, 2026</w:t>
            </w:r>
          </w:p>
        </w:tc>
        <w:tc>
          <w:tcPr>
            <w:tcW w:w="2545" w:type="dxa"/>
            <w:gridSpan w:val="2"/>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Advasa Holdings, Inc.</w:t>
            </w:r>
          </w:p>
        </w:tc>
      </w:tr>
      <w:tr>
        <w:trPr/>
        <w:tc>
          <w:tcPr>
            <w:tcW w:w="2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Grady Ryther</w:t>
            </w:r>
          </w:p>
        </w:tc>
      </w:tr>
      <w:tr>
        <w:trPr/>
        <w:tc>
          <w:tcPr>
            <w:tcW w:w="2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1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Grady Ryther</w:t>
            </w:r>
          </w:p>
        </w:tc>
      </w:tr>
      <w:tr>
        <w:trPr/>
        <w:tc>
          <w:tcPr>
            <w:tcW w:w="2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shd w:fill="FFFFFF" w:val="clear"/>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 w:name="am_001"/>
      <w:bookmarkEnd w:id="3"/>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tbl>
      <w:tblPr>
        <w:tblW w:w="8570" w:type="dxa"/>
        <w:jc w:val="left"/>
        <w:tblInd w:w="0" w:type="dxa"/>
        <w:tblLayout w:type="fixed"/>
        <w:tblCellMar>
          <w:top w:w="0" w:type="dxa"/>
          <w:left w:w="0" w:type="dxa"/>
          <w:bottom w:w="0" w:type="dxa"/>
          <w:right w:w="0" w:type="dxa"/>
        </w:tblCellMar>
      </w:tblPr>
      <w:tblGrid>
        <w:gridCol w:w="4515"/>
        <w:gridCol w:w="60"/>
        <w:gridCol w:w="3995"/>
      </w:tblGrid>
      <w:tr>
        <w:trPr/>
        <w:tc>
          <w:tcPr>
            <w:tcW w:w="4515"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2857500" cy="495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857500" cy="495300"/>
                          </a:xfrm>
                          <a:prstGeom prst="rect">
                            <a:avLst/>
                          </a:prstGeom>
                        </pic:spPr>
                      </pic:pic>
                    </a:graphicData>
                  </a:graphic>
                </wp:inline>
              </w:drawing>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995" w:type="dxa"/>
            <w:tcBorders/>
            <w:vAlign w:val="center"/>
          </w:tcPr>
          <w:p>
            <w:pPr>
              <w:pStyle w:val="TableContents"/>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Advasa Holdings, Inc. </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Akasaka K Tower, 1-2-7 Moto-Akasaka</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Minato-ku, Tokyo, 107-0051 Japan</w:t>
            </w:r>
          </w:p>
          <w:p>
            <w:pPr>
              <w:pStyle w:val="TableContents"/>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https://adbt.io/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ADVASA Provides Clarification to Shareholders Regarding Its Direct Listing, Registered Resale Shares, Largest Shareholder Ownership and Management Transition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TOKYO and NEW YORK, September 9, 2026 – Advasa Holdings, Inc. (Nasdaq: ADBT) (“ADVASA” or the “Company”)</w:t>
      </w:r>
      <w:r>
        <w:rPr>
          <w:rFonts w:ascii="Times New Roman;Times;Serif" w:hAnsi="Times New Roman;Times;Serif"/>
          <w:b w:val="false"/>
          <w:i w:val="false"/>
          <w:caps w:val="false"/>
          <w:smallCaps w:val="false"/>
          <w:sz w:val="20"/>
        </w:rPr>
        <w:t xml:space="preserve">, a fintech payment holding company providing Earned Wage Access (“EWA”) and next-generation financial infrastructure solutions through its Japanese operating subsidiary ADVASA Co., Ltd., provided the following clarification in response to questions it has received from shareholders since its common stock began trading on the Nasdaq Global Market on August 25, 2026. Except where otherwise noted, the information below is drawn from the Company’s filings with the U.S. Securities and Exchange Commission (the “SEC”), which are available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xml:space="preserve"> and on the Company’s investor relations website at </w:t>
      </w:r>
      <w:r>
        <w:rPr>
          <w:rFonts w:ascii="Times New Roman;Times;Serif" w:hAnsi="Times New Roman;Times;Serif"/>
          <w:b w:val="false"/>
          <w:i w:val="false"/>
          <w:caps w:val="false"/>
          <w:smallCaps w:val="false"/>
          <w:sz w:val="20"/>
          <w:u w:val="single"/>
        </w:rPr>
        <w:t>ir.adbt.io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25, 2026, ADVASA’s common stock began trading on the Nasdaq Global Market by way of a direct listing. A direct listing is not an underwritten, capital-raising offering. The Company did not issue or sell any shares of common stock in connection with the listing and did not receive any proceeds from the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Resale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w:t>
      </w:r>
      <w:r>
        <w:rPr>
          <w:rFonts w:ascii="Times New Roman;Times;Serif" w:hAnsi="Times New Roman;Times;Serif"/>
          <w:b w:val="false"/>
          <w:i w:val="false"/>
          <w:caps w:val="false"/>
          <w:smallCaps w:val="false"/>
          <w:sz w:val="20"/>
          <w:u w:val="single"/>
        </w:rPr>
        <w:t>resale prospectus</w:t>
      </w:r>
      <w:r>
        <w:rPr>
          <w:rFonts w:ascii="Times New Roman;Times;Serif" w:hAnsi="Times New Roman;Times;Serif"/>
          <w:b w:val="false"/>
          <w:i w:val="false"/>
          <w:caps w:val="false"/>
          <w:smallCaps w:val="false"/>
          <w:sz w:val="20"/>
        </w:rPr>
        <w:t xml:space="preserve"> relates to up to 94,046,357 shares of common stock already held by existing stockholders, referred to in the prospectus as registered stockholders, who may sell those shares from time to time. These are existing shares, not newly issued shares, and the Company will not receive any proceeds from sales by the registered stockholders. The registered stockholders may, or may not, elect to sell their shares, and the Company does not control whether, when, or at what price any such sales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for resale permits potential future sales under applicable securities laws. Registration itself does not constitute a sale and does not, by itself, indicate that a selling shareholder has sold, currently intends to sell, or is under any obligation to sell any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Largest Shareholder Ownership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previously disclosed in the </w:t>
      </w:r>
      <w:r>
        <w:rPr>
          <w:rFonts w:ascii="Times New Roman;Times;Serif" w:hAnsi="Times New Roman;Times;Serif"/>
          <w:b w:val="false"/>
          <w:i w:val="false"/>
          <w:caps w:val="false"/>
          <w:smallCaps w:val="false"/>
          <w:sz w:val="20"/>
          <w:u w:val="single"/>
        </w:rPr>
        <w:t>Schedule 13D</w:t>
      </w:r>
      <w:r>
        <w:rPr>
          <w:rFonts w:ascii="Times New Roman;Times;Serif" w:hAnsi="Times New Roman;Times;Serif"/>
          <w:b w:val="false"/>
          <w:i w:val="false"/>
          <w:caps w:val="false"/>
          <w:smallCaps w:val="false"/>
          <w:sz w:val="20"/>
        </w:rPr>
        <w:t xml:space="preserve"> filed with the SEC on August 18, 2026, Mr. Asamitsu Kosugi, the Company’s largest shareholder, beneficially owns 232,638,232 shares of ADVASA common stock, representing approximately 47.76% of the Company’s outstanding common stock as reported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records reviewed by the Company, ADVASA confirms that, from the commencement of trading on Nasdaq on August 25, 2026 through September 9, 2026, Mr. Kosugi: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has sold no shares of ADVASA common stock in open-market transactions;</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has sold or transferred no shares through private or other transactions; and</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continues to beneficially own 232,638,232 shares of ADVASA common stock, unchanged from the amount reported in his Schedule 13D.</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Pledges, Hedging or Trading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ADVASA further confirms that, as of September 9, 2026, none of Mr. Kosugi’s shares are pledged as collateral or subject to any margin loan, and that he has not entered into any hedging or securities lending arrangement with respect to his shares or adopted any trading plan pursuant to Rule 10b5-1.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statements regarding Mr. Kosugi reflect historical facts as of the dates indicated and should not be interpreted as a commitment regarding any future transaction or disposition.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Shares of Common Stock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reported in the Company’s </w:t>
      </w:r>
      <w:r>
        <w:rPr>
          <w:rFonts w:ascii="Times New Roman;Times;Serif" w:hAnsi="Times New Roman;Times;Serif"/>
          <w:b w:val="false"/>
          <w:i w:val="false"/>
          <w:caps w:val="false"/>
          <w:smallCaps w:val="false"/>
          <w:sz w:val="20"/>
          <w:u w:val="single"/>
        </w:rPr>
        <w:t>Quarterly Report on Form 10-Q</w:t>
      </w:r>
      <w:r>
        <w:rPr>
          <w:rFonts w:ascii="Times New Roman;Times;Serif" w:hAnsi="Times New Roman;Times;Serif"/>
          <w:b w:val="false"/>
          <w:i w:val="false"/>
          <w:caps w:val="false"/>
          <w:smallCaps w:val="false"/>
          <w:sz w:val="20"/>
        </w:rPr>
        <w:t xml:space="preserve"> for the quarter ended June 30, 2026, the Company had 487,065,702 shares of common stock issued and outstanding as of August 12, 2026, the same number reported as of June 30, 2026. A resale registration permits existing stockholders to sell shares they already own; it does not create new shares or increase the number of shares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 Transition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disclosed in the Company’s </w:t>
      </w:r>
      <w:r>
        <w:rPr>
          <w:rFonts w:ascii="Times New Roman;Times;Serif" w:hAnsi="Times New Roman;Times;Serif"/>
          <w:b w:val="false"/>
          <w:i w:val="false"/>
          <w:caps w:val="false"/>
          <w:smallCaps w:val="false"/>
          <w:sz w:val="20"/>
          <w:u w:val="single"/>
        </w:rPr>
        <w:t>Current Report on Form 8-K filed on September 2, 2026,</w:t>
      </w:r>
      <w:r>
        <w:rPr>
          <w:rFonts w:ascii="Times New Roman;Times;Serif" w:hAnsi="Times New Roman;Times;Serif"/>
          <w:b w:val="false"/>
          <w:i w:val="false"/>
          <w:caps w:val="false"/>
          <w:smallCaps w:val="false"/>
          <w:sz w:val="20"/>
        </w:rPr>
        <w:t xml:space="preserve"> Katharyn Field resigned as Chief Financial Officer on August 27, 2026. Ms. Field advised the Company that her resignation was for personal reasons and was not the result of any dispute or disagreement with the Company, its management, or its board of directors. Chief Executive Officer Grady Ryther is serving as interim Chief Financial Officer while the Company searches for a permanent successor. The Company will announce the appointment once it is finalized.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Update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ADVASA’s core product, FUKUPE, is a patented EWA platform that allows employees to access wages they have already earned in real time through cashless settlement that integrates with employers’ existing HR and payroll systems and with bank transfers, digital wallets, and prepaid cards. The platform is live in Japan, and the Company is currently preparing for market launches in Indonesia and the United Arab Emirates. ADVASA’s intellectual property foundation spans markets including Japan, the United States, South Korea, and Singapore. The Company’s operations have continued without interruption since the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Since the listing, the Company has continued to expand the payment capabilities available through its platform. On September 2, 2026, the Company </w:t>
      </w:r>
      <w:r>
        <w:rPr>
          <w:rFonts w:ascii="Times New Roman;Times;Serif" w:hAnsi="Times New Roman;Times;Serif"/>
          <w:b w:val="false"/>
          <w:i w:val="false"/>
          <w:caps w:val="false"/>
          <w:smallCaps w:val="false"/>
          <w:sz w:val="20"/>
          <w:u w:val="single"/>
        </w:rPr>
        <w:t>announced</w:t>
      </w:r>
      <w:r>
        <w:rPr>
          <w:rFonts w:ascii="Times New Roman;Times;Serif" w:hAnsi="Times New Roman;Times;Serif"/>
          <w:b w:val="false"/>
          <w:i w:val="false"/>
          <w:caps w:val="false"/>
          <w:smallCaps w:val="false"/>
          <w:sz w:val="20"/>
        </w:rPr>
        <w:t xml:space="preserve"> that its ADVASA Visa card now supports USD Coin (USDC) payments alongside traditional fiat currency, broadening the ways FUKUPE users can access and use their earned wages. In the same announcement, ADVASA also announced its intention to explore opportunities in tokenizing real-world assets (RWA) as an extension of its existing financial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 Communications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communicate material developments through press releases and SEC filings, and through its official investor channels, including its investor relations website (</w:t>
      </w:r>
      <w:r>
        <w:rPr>
          <w:rFonts w:ascii="Times New Roman;Times;Serif" w:hAnsi="Times New Roman;Times;Serif"/>
          <w:b w:val="false"/>
          <w:i w:val="false"/>
          <w:caps w:val="false"/>
          <w:smallCaps w:val="false"/>
          <w:sz w:val="20"/>
          <w:u w:val="single"/>
        </w:rPr>
        <w:t>ir.adbt.io</w:t>
      </w:r>
      <w:r>
        <w:rPr>
          <w:rFonts w:ascii="Times New Roman;Times;Serif" w:hAnsi="Times New Roman;Times;Serif"/>
          <w:b w:val="false"/>
          <w:i w:val="false"/>
          <w:caps w:val="false"/>
          <w:smallCaps w:val="false"/>
          <w:sz w:val="20"/>
        </w:rPr>
        <w:t xml:space="preserve">), its verified Stocktwits account, and its X account (@AdvasaHoldings). Shareholder inquiries may be directed to </w:t>
      </w:r>
      <w:r>
        <w:rPr>
          <w:rFonts w:ascii="Times New Roman;Times;Serif" w:hAnsi="Times New Roman;Times;Serif"/>
          <w:b w:val="false"/>
          <w:i w:val="false"/>
          <w:caps w:val="false"/>
          <w:smallCaps w:val="false"/>
          <w:sz w:val="20"/>
          <w:u w:val="single"/>
        </w:rPr>
        <w:t>ir@advasa.co.jp</w:t>
      </w:r>
      <w:r>
        <w:rPr>
          <w:rFonts w:ascii="Times New Roman;Times;Serif" w:hAnsi="Times New Roman;Times;Serif"/>
          <w:b w:val="false"/>
          <w:i w:val="false"/>
          <w:caps w:val="false"/>
          <w:smallCaps w:val="false"/>
          <w:sz w:val="20"/>
        </w:rPr>
        <w:t>. The Company does not comment on the stock price or trading activity in its common stock or on the actions of individual market participants, and it cannot discuss information that has not been publicly disclosed.</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ADVASA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Advasa Holdings, Inc. is a fintech payment holding company incorporated in Delaware. It operates “FUKUPE,” an Earned Wage Access (“EWA”) platform that allows employees to receive wages they have already earned in real time. Through a global patent strategy, ADVASA has established an intellectual property foundation across markets including Japan, the United States, South Korea, and Singapore. By seamlessly integrating with major HR and payroll systems and diverse payment infrastructure, including bank transfers and e-wallets, ADVASA aims to build on its business in Japan and expand into overseas markets such as Indonesia and the UAE, where demand for financial inclusion is rapidly growing.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announcement are forward-looking statements. All statements other than statements of historical fact are forward-looking statements. These forward-looking statements involve known and unknown risks and uncertainties and are based on the Company’s current expectations and projections about future events that the Company believes may affect its financial condition, results of operations, business strategy and financial needs.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include, but are not limited to, statements regarding the direct listing, registered resale shares, the future ownership, potential trading activity, disposition plans of the Company’s largest shareholder, Mr. Asamitsu Kosugi, the potential impact of any future resale registration, the Company’s ongoing search for a permanent Chief Financial Officer, upcoming market launches for the FUKUPE platform in Indonesia and the United Arab Emirates, and plans to explore real-world asset (RWA) tokenization opportunities. Such forward-looking statements are subject to risks and uncertainties, including the potential for future sales or transfers of shares by major stockholders, the ability to identify and onboard a qualified permanent Chief Financial Officer, the potential future sales of common stock by registered/existing stockholders from time to time, changes in the number of outstanding shares of common stock, the risk that historical trading patterns or ownership structures may not predict future behaviors, expectations regarding the trading of its common stock on the Nasdaq Global Market, market volatility on Nasdaq, the Company’s expansion plans into global markets (including Indonesia and the UAE), its commitment to building long-term shareholder value through disciplined execution, continued innovation, and sustainable growth, potential delays or regulatory hurdles in launching the FUKUPE platform in new international jurisdictions, and the inherent volatility or technical challenges associated with expanding into digital assets and tokenized financial solutions. Investors can identify these forward-looking statements by words or phrases such as “may,” “could,” “will,” “should,” “would,” “expect,” “plan,” “aim,” “intend,” “anticipate,” “believe,” “estimate,” “predict,” “likely,” “potential,” “project,” or “continue,” or the negative of these terms or other comparable terminology. The Company undertakes no obligation to publicly update or revise any forward-looking statements to reflect subsequent events or circumstances,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Company believes that the expectations expressed in these forward-looking statements are reasonable, it cannot guarantee that such expectations will prove correct. Investors are encouraged to review the risks, uncertainties and other factors that may affect the Company’s future results identified in the Company’s registration statement on Form S-1, as amended (File No. 333-292013), declared effective by the SEC on August 11, 2026, the Company’s Form 10-Q for the quarter ended June 30, 2026 filed with the SEC on August 12, 2026, and subsequent disclosure documents the Company may file with the SEC. The Company claims the protection of the Safe Harbor contained in the Private Securities Litigation Reform Act of 1995 for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Contacts</w:t>
      </w:r>
      <w:r>
        <w:rPr>
          <w:rFonts w:ascii="Times New Roman;Times;Serif" w:hAnsi="Times New Roman;Times;Serif"/>
          <w:b w:val="false"/>
          <w:i w:val="false"/>
          <w:caps w:val="false"/>
          <w:smallCaps w:val="false"/>
          <w:sz w:val="20"/>
        </w:rPr>
        <w:br/>
        <w:t>ADVASA 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ir@advasa.co.jp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Website: </w:t>
      </w:r>
      <w:r>
        <w:rPr>
          <w:rFonts w:ascii="Times New Roman;Times;Serif" w:hAnsi="Times New Roman;Times;Serif"/>
          <w:b w:val="false"/>
          <w:i w:val="false"/>
          <w:caps w:val="false"/>
          <w:smallCaps w:val="false"/>
          <w:sz w:val="20"/>
          <w:u w:val="single"/>
        </w:rPr>
        <w:t>https://adbt.io/</w:t>
      </w:r>
      <w:r>
        <w:rPr>
          <w:rFonts w:ascii="Times New Roman;Times;Serif" w:hAnsi="Times New Roman;Times;Serif"/>
          <w:b w:val="false"/>
          <w:i w:val="false"/>
          <w:caps w:val="false"/>
          <w:smallCaps w:val="false"/>
          <w:sz w:val="20"/>
        </w:rPr>
        <w:br/>
        <w:t>X: @AdvasaHoldings (</w:t>
      </w:r>
      <w:r>
        <w:rPr>
          <w:rFonts w:ascii="Times New Roman;Times;Serif" w:hAnsi="Times New Roman;Times;Serif"/>
          <w:b w:val="false"/>
          <w:i w:val="false"/>
          <w:caps w:val="false"/>
          <w:smallCaps w:val="false"/>
          <w:sz w:val="20"/>
          <w:u w:val="single"/>
        </w:rPr>
        <w:t>https://x.com/AdvasaHoldings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83"/>
        <w:jc w:val="righ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2458</Words>
  <Characters>14159</Characters>
  <CharactersWithSpaces>16624</CharactersWithSpaces>
  <Paragraphs>260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